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16C0" w14:textId="05E58313" w:rsidR="002C60B8" w:rsidRDefault="002C60B8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tbl>
      <w:tblPr>
        <w:tblStyle w:val="Grilledutableau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823"/>
        <w:gridCol w:w="2268"/>
        <w:gridCol w:w="3119"/>
        <w:gridCol w:w="1704"/>
      </w:tblGrid>
      <w:tr w:rsidR="00496813" w:rsidRPr="00E17F74" w14:paraId="1020FD8D" w14:textId="77777777" w:rsidTr="00E21644">
        <w:tc>
          <w:tcPr>
            <w:tcW w:w="1716" w:type="dxa"/>
            <w:vAlign w:val="center"/>
          </w:tcPr>
          <w:p w14:paraId="115E308B" w14:textId="77777777" w:rsidR="008100C6" w:rsidRPr="00E17F74" w:rsidRDefault="008100C6" w:rsidP="00F109E3">
            <w:pPr>
              <w:jc w:val="center"/>
              <w:rPr>
                <w:rFonts w:ascii="Gill Sans MT" w:eastAsia="Times New Roman" w:hAnsi="Gill Sans MT" w:cs="Calibri"/>
                <w:color w:val="212121"/>
                <w:sz w:val="22"/>
                <w:szCs w:val="22"/>
                <w:lang w:eastAsia="fr-FR"/>
              </w:rPr>
            </w:pPr>
            <w:r w:rsidRPr="00E17F74">
              <w:rPr>
                <w:rFonts w:ascii="Gill Sans MT" w:hAnsi="Gill Sans MT"/>
                <w:noProof/>
                <w:sz w:val="22"/>
                <w:szCs w:val="22"/>
              </w:rPr>
              <w:drawing>
                <wp:inline distT="0" distB="0" distL="0" distR="0" wp14:anchorId="5CABBC20" wp14:editId="435CF06A">
                  <wp:extent cx="944880" cy="858705"/>
                  <wp:effectExtent l="0" t="0" r="762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92" cy="88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vAlign w:val="center"/>
          </w:tcPr>
          <w:p w14:paraId="65790A7A" w14:textId="52E96F7D" w:rsidR="008100C6" w:rsidRPr="00E17F74" w:rsidRDefault="008100C6" w:rsidP="00F109E3">
            <w:pPr>
              <w:jc w:val="center"/>
              <w:rPr>
                <w:rFonts w:ascii="Gill Sans MT" w:eastAsia="Times New Roman" w:hAnsi="Gill Sans MT" w:cs="Calibri"/>
                <w:color w:val="212121"/>
                <w:sz w:val="22"/>
                <w:szCs w:val="22"/>
                <w:lang w:eastAsia="fr-FR"/>
              </w:rPr>
            </w:pPr>
            <w:r w:rsidRPr="00E17F74">
              <w:rPr>
                <w:rFonts w:ascii="Gill Sans MT" w:hAnsi="Gill Sans MT"/>
                <w:noProof/>
                <w:sz w:val="22"/>
                <w:szCs w:val="22"/>
              </w:rPr>
              <w:drawing>
                <wp:inline distT="0" distB="0" distL="0" distR="0" wp14:anchorId="5F7FF5B6" wp14:editId="37578A43">
                  <wp:extent cx="1114112" cy="601980"/>
                  <wp:effectExtent l="0" t="0" r="0" b="7620"/>
                  <wp:docPr id="1" name="Image 1" descr="CAP International – Nordic Model | Red Yellow Blue (RY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 International – Nordic Model | Red Yellow Blue (RYB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01" t="24370" b="19328"/>
                          <a:stretch/>
                        </pic:blipFill>
                        <pic:spPr bwMode="auto">
                          <a:xfrm>
                            <a:off x="0" y="0"/>
                            <a:ext cx="1124698" cy="6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86D57C3" w14:textId="6066DDD5" w:rsidR="008100C6" w:rsidRPr="00E17F74" w:rsidRDefault="001B0A17" w:rsidP="00F109E3">
            <w:pPr>
              <w:jc w:val="center"/>
              <w:rPr>
                <w:rFonts w:ascii="Gill Sans MT" w:eastAsia="Times New Roman" w:hAnsi="Gill Sans MT" w:cs="Calibri"/>
                <w:noProof/>
                <w:color w:val="212121"/>
                <w:sz w:val="22"/>
                <w:szCs w:val="22"/>
                <w:lang w:eastAsia="fr-FR"/>
              </w:rPr>
            </w:pPr>
            <w:r w:rsidRPr="00AC726B">
              <w:rPr>
                <w:rFonts w:ascii="Gill Sans MT" w:eastAsia="Times New Roman" w:hAnsi="Gill Sans MT" w:cs="Calibri"/>
                <w:noProof/>
                <w:color w:val="212121"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185D60E0" wp14:editId="5DB01CC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88900</wp:posOffset>
                  </wp:positionV>
                  <wp:extent cx="1348740" cy="577215"/>
                  <wp:effectExtent l="0" t="0" r="0" b="0"/>
                  <wp:wrapNone/>
                  <wp:docPr id="80062644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2644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Align w:val="center"/>
          </w:tcPr>
          <w:p w14:paraId="6F93DD2F" w14:textId="3A1C3D6D" w:rsidR="008100C6" w:rsidRPr="00E17F74" w:rsidRDefault="008100C6" w:rsidP="00F109E3">
            <w:pPr>
              <w:jc w:val="center"/>
              <w:rPr>
                <w:rFonts w:ascii="Gill Sans MT" w:eastAsia="Times New Roman" w:hAnsi="Gill Sans MT" w:cs="Calibri"/>
                <w:color w:val="212121"/>
                <w:sz w:val="22"/>
                <w:szCs w:val="22"/>
                <w:lang w:eastAsia="fr-FR"/>
              </w:rPr>
            </w:pPr>
            <w:r w:rsidRPr="00E17F74">
              <w:rPr>
                <w:rFonts w:ascii="Gill Sans MT" w:eastAsia="Times New Roman" w:hAnsi="Gill Sans MT" w:cs="Calibri"/>
                <w:noProof/>
                <w:color w:val="212121"/>
                <w:sz w:val="22"/>
                <w:szCs w:val="22"/>
                <w:lang w:eastAsia="fr-FR"/>
              </w:rPr>
              <w:drawing>
                <wp:inline distT="0" distB="0" distL="0" distR="0" wp14:anchorId="2E8B8816" wp14:editId="39F08AAF">
                  <wp:extent cx="1832066" cy="47498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84" cy="4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16993F60" w14:textId="77777777" w:rsidR="008100C6" w:rsidRPr="00E17F74" w:rsidRDefault="008100C6" w:rsidP="00F109E3">
            <w:pPr>
              <w:jc w:val="center"/>
              <w:rPr>
                <w:rFonts w:ascii="Gill Sans MT" w:eastAsia="Times New Roman" w:hAnsi="Gill Sans MT" w:cs="Calibri"/>
                <w:color w:val="212121"/>
                <w:sz w:val="22"/>
                <w:szCs w:val="22"/>
                <w:lang w:eastAsia="fr-FR"/>
              </w:rPr>
            </w:pPr>
            <w:r w:rsidRPr="00E17F74">
              <w:rPr>
                <w:rFonts w:ascii="Gill Sans MT" w:eastAsia="Times New Roman" w:hAnsi="Gill Sans MT" w:cs="Calibri"/>
                <w:noProof/>
                <w:color w:val="212121"/>
                <w:sz w:val="22"/>
                <w:szCs w:val="22"/>
                <w:lang w:eastAsia="fr-FR"/>
              </w:rPr>
              <w:drawing>
                <wp:inline distT="0" distB="0" distL="0" distR="0" wp14:anchorId="5C053B7B" wp14:editId="7C247197">
                  <wp:extent cx="1021240" cy="6146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299" cy="62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68CA4" w14:textId="71ED6480" w:rsidR="00A96F04" w:rsidRPr="00E17F74" w:rsidRDefault="00A96F0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36D506C7" w14:textId="156F5356" w:rsidR="00B11477" w:rsidRPr="003D5B53" w:rsidRDefault="00B11477" w:rsidP="00E17F74">
      <w:pPr>
        <w:jc w:val="center"/>
        <w:rPr>
          <w:rFonts w:ascii="Gill Sans MT" w:eastAsia="Times New Roman" w:hAnsi="Gill Sans MT" w:cs="Calibri"/>
          <w:b/>
          <w:color w:val="212121"/>
          <w:lang w:eastAsia="fr-FR"/>
        </w:rPr>
      </w:pPr>
      <w:r w:rsidRPr="003D5B53">
        <w:rPr>
          <w:rFonts w:ascii="Gill Sans MT" w:eastAsia="Times New Roman" w:hAnsi="Gill Sans MT" w:cs="Calibri"/>
          <w:b/>
          <w:color w:val="212121"/>
          <w:lang w:eastAsia="fr-FR"/>
        </w:rPr>
        <w:t xml:space="preserve">Stratégie prostitution : </w:t>
      </w:r>
      <w:r w:rsidR="000227FF" w:rsidRPr="003D5B53">
        <w:rPr>
          <w:rFonts w:ascii="Gill Sans MT" w:eastAsia="Times New Roman" w:hAnsi="Gill Sans MT" w:cs="Calibri"/>
          <w:b/>
          <w:color w:val="212121"/>
          <w:lang w:eastAsia="fr-FR"/>
        </w:rPr>
        <w:t xml:space="preserve">une volonté </w:t>
      </w:r>
      <w:r w:rsidR="00702400" w:rsidRPr="003D5B53">
        <w:rPr>
          <w:rFonts w:ascii="Gill Sans MT" w:eastAsia="Times New Roman" w:hAnsi="Gill Sans MT" w:cs="Calibri"/>
          <w:b/>
          <w:color w:val="212121"/>
          <w:lang w:eastAsia="fr-FR"/>
        </w:rPr>
        <w:t>politique affirmée</w:t>
      </w:r>
      <w:r w:rsidR="000227FF" w:rsidRPr="003D5B53">
        <w:rPr>
          <w:rFonts w:ascii="Gill Sans MT" w:eastAsia="Times New Roman" w:hAnsi="Gill Sans MT" w:cs="Calibri"/>
          <w:b/>
          <w:color w:val="212121"/>
          <w:lang w:eastAsia="fr-FR"/>
        </w:rPr>
        <w:t xml:space="preserve"> mais quels moyens ?</w:t>
      </w:r>
    </w:p>
    <w:p w14:paraId="3A1C1783" w14:textId="77777777" w:rsidR="001649BA" w:rsidRPr="00E17F74" w:rsidRDefault="001649BA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0A55CC1F" w14:textId="4B6AB666" w:rsidR="00B11477" w:rsidRPr="00E17F74" w:rsidRDefault="00B11477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Après 8 ans de mise en œuvre de la loi de lutte contre le système prostitutionnel</w:t>
      </w:r>
      <w:r w:rsidR="00C90C53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du 13 avril 2016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, la Ministre Aurore Bergé a présenté 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jeudi 2 mai 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une stratégie interministérielle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visant à améliorer son application : une phase 2 de la loi que les associations </w:t>
      </w:r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qui accompagnent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les personnes </w:t>
      </w:r>
      <w:r w:rsidR="0021292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en situation de prostitution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réclamaient 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depuis plus de 3 ans</w:t>
      </w:r>
      <w:r w:rsidR="00C5366E" w:rsidRPr="00E17F74">
        <w:rPr>
          <w:rStyle w:val="Appelnotedebasdep"/>
          <w:rFonts w:ascii="Gill Sans MT" w:eastAsia="Times New Roman" w:hAnsi="Gill Sans MT" w:cs="Calibri"/>
          <w:color w:val="212121"/>
          <w:sz w:val="22"/>
          <w:szCs w:val="22"/>
          <w:lang w:eastAsia="fr-FR"/>
        </w:rPr>
        <w:footnoteReference w:id="1"/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.</w:t>
      </w:r>
      <w:r w:rsidR="00982D4D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Elle a associé quatre survivantes qui ont </w:t>
      </w:r>
      <w:r w:rsidR="0023248A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témoigné de leurs parcours et ont </w:t>
      </w:r>
      <w:r w:rsidR="0042117B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exprimé leurs attentes quant à cette stratégie</w:t>
      </w:r>
      <w:r w:rsidR="0042117B">
        <w:rPr>
          <w:rStyle w:val="Appelnotedebasdep"/>
          <w:rFonts w:ascii="Gill Sans MT" w:eastAsia="Times New Roman" w:hAnsi="Gill Sans MT" w:cs="Calibri"/>
          <w:color w:val="212121"/>
          <w:sz w:val="22"/>
          <w:szCs w:val="22"/>
          <w:lang w:eastAsia="fr-FR"/>
        </w:rPr>
        <w:footnoteReference w:id="2"/>
      </w:r>
      <w:r w:rsidR="0042117B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.</w:t>
      </w:r>
    </w:p>
    <w:p w14:paraId="131E3ECC" w14:textId="77777777" w:rsidR="00843AEA" w:rsidRPr="00E17F74" w:rsidRDefault="00843AEA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32C2DDDD" w14:textId="2DAB8FDE" w:rsidR="00B11477" w:rsidRPr="00E17F74" w:rsidRDefault="008A02F7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L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es dispositifs prévus par la loi font leurs preuves : les démantèlements de réseaux proxénètes augmentent, les personnes qui ont bénéficié d’un parcours de sortie de </w:t>
      </w:r>
      <w:r w:rsidR="0048433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la 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prostitution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(PSP)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s’insèrent durablemen</w:t>
      </w:r>
      <w:r w:rsidR="006636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t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, les demandes de prévention en direction des jeunes 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sont plus nombreuses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, la prostitution des </w:t>
      </w:r>
      <w:proofErr w:type="spellStart"/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mineur·es</w:t>
      </w:r>
      <w:proofErr w:type="spellEnd"/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est devenu un 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véritable </w:t>
      </w:r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sujet de préoccupation des </w:t>
      </w:r>
      <w:proofErr w:type="spellStart"/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professionnel·les</w:t>
      </w:r>
      <w:proofErr w:type="spellEnd"/>
      <w:r w:rsidR="00B1147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et des institutions, </w:t>
      </w:r>
      <w:r w:rsidR="006636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la pénalisation des « clients » prostitueurs fonctionne.</w:t>
      </w:r>
    </w:p>
    <w:p w14:paraId="5876B71F" w14:textId="77777777" w:rsidR="00663634" w:rsidRPr="00E17F74" w:rsidRDefault="0066363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30455EB3" w14:textId="0BF86AD6" w:rsidR="00663634" w:rsidRPr="00E17F74" w:rsidRDefault="008A02F7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Mais nos associations de terrain </w:t>
      </w:r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constatent aussi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qu</w:t>
      </w:r>
      <w:r w:rsidR="0048433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e ces dispositifs</w:t>
      </w:r>
      <w:r w:rsidR="006636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sont </w:t>
      </w:r>
      <w:r w:rsidR="0048433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insuffisamment</w:t>
      </w:r>
      <w:r w:rsidR="006636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mobilisés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 : m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oins de 1500 personnes ont bénéficié </w:t>
      </w:r>
      <w:proofErr w:type="gramStart"/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d’un PSP</w:t>
      </w:r>
      <w:proofErr w:type="gramEnd"/>
      <w:r w:rsidR="006A0090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</w:t>
      </w:r>
      <w:r w:rsidR="00B75D0E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les personnes étrangères ont de grandes difficultés à accéder au séjour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, la pénalisation des clients est mise en œuvre de façon anecdotique, dans un contexte où tous les acteurs constatent une augmentation du phénomène 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prostitutionnel 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notamment chez les </w:t>
      </w:r>
      <w:proofErr w:type="spellStart"/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mineur·es</w:t>
      </w:r>
      <w:proofErr w:type="spellEnd"/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et jeunes </w:t>
      </w:r>
      <w:proofErr w:type="spellStart"/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majeur·es</w:t>
      </w:r>
      <w:proofErr w:type="spellEnd"/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.  </w:t>
      </w:r>
    </w:p>
    <w:p w14:paraId="55540A40" w14:textId="77777777" w:rsidR="00663634" w:rsidRPr="00E17F74" w:rsidRDefault="0066363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1B995A36" w14:textId="768CF04D" w:rsidR="00C5366E" w:rsidRPr="00E17F74" w:rsidRDefault="0066363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Nous saluons la volonté de Mme A</w:t>
      </w:r>
      <w:r w:rsidR="00501EF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urore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Bergé de mettre le projecteur sur cette question, d’avoir une parole publique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qui rappelle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que la prostitution est une violence sexiste et sexuelle et 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un obstacle à l’égalité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et 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d’engager le gouvernement à mieux mettre en œuvre la loi</w:t>
      </w:r>
      <w:r w:rsidR="007A065C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774F3E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sur tous ses volets et sur tous les territoires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. 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C’est primordial. </w:t>
      </w:r>
      <w:r w:rsidR="004C0F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N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ous saluons le travail de l’OCRTEH</w:t>
      </w:r>
      <w:r w:rsidR="00C5366E" w:rsidRPr="00E17F74">
        <w:rPr>
          <w:rStyle w:val="Appelnotedebasdep"/>
          <w:rFonts w:ascii="Gill Sans MT" w:eastAsia="Times New Roman" w:hAnsi="Gill Sans MT" w:cs="Calibri"/>
          <w:color w:val="212121"/>
          <w:sz w:val="22"/>
          <w:szCs w:val="22"/>
          <w:lang w:eastAsia="fr-FR"/>
        </w:rPr>
        <w:footnoteReference w:id="3"/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qui améliore la considération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apportée aux 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victimes dans les procédures judiciaires pour proxénétisme ou traite aux fins d’exploitation sexuelle</w:t>
      </w:r>
      <w:r w:rsidR="001F02F8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 ainsi que l’intégration de l’ancien plan dédié</w:t>
      </w:r>
      <w:r w:rsidR="002B66E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à la lutte contre la prostitution des </w:t>
      </w:r>
      <w:proofErr w:type="spellStart"/>
      <w:r w:rsidR="002B66E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mineur·es</w:t>
      </w:r>
      <w:proofErr w:type="spellEnd"/>
      <w:r w:rsidR="002B66E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dans cette stratégie</w:t>
      </w:r>
      <w:r w:rsidR="00C536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.</w:t>
      </w:r>
      <w:r w:rsidR="004C0F3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Et </w:t>
      </w:r>
      <w:r w:rsidR="00D07F3C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nous sommes satisfaites de voir le rétablissement de l’accès pour les personnes en situation de prostitution à l’hébergement d’urgence pour les femmes victimes de violences.</w:t>
      </w:r>
    </w:p>
    <w:p w14:paraId="4654F0FC" w14:textId="77777777" w:rsidR="00C5366E" w:rsidRPr="00E17F74" w:rsidRDefault="00C5366E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047CC04D" w14:textId="6BA740C4" w:rsidR="00CB7B65" w:rsidRPr="00E17F74" w:rsidRDefault="0066363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Toutefois les associations constatent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depuis plusieurs années</w:t>
      </w:r>
      <w:r w:rsidR="0048433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la faiblesse de l’engagement des mini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stère</w:t>
      </w:r>
      <w:r w:rsidR="00484332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de l’Intérieur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F46701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et de la Justice – Ministres </w:t>
      </w:r>
      <w:r w:rsidR="002D13C3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représentés mais</w:t>
      </w:r>
      <w:r w:rsidR="00F46701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absents à l’annonce de </w:t>
      </w:r>
      <w:r w:rsidR="003E19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cette stratégie. </w:t>
      </w:r>
      <w:r w:rsidR="0072747F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En préfectures, le</w:t>
      </w:r>
      <w:r w:rsidR="003E196E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C90C53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ministère de l’Intérieur</w:t>
      </w:r>
      <w:r w:rsidR="00372535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8A02F7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considère les personnes prostituées étrangères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372535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trop souvent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comme des immigrées </w:t>
      </w:r>
      <w:r w:rsidR="00EF4B7C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irrégulières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 et non comme des victimes de violence</w:t>
      </w:r>
      <w:r w:rsidR="00473A63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sexuelles à qui l’Etat doit protection et ass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istan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ce. </w:t>
      </w:r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Et ceux qui abusent d’elles ne sont que trop peu inquiétés. </w:t>
      </w:r>
      <w:r w:rsidR="00A34308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Seule la volonté de ces ministères à agir </w:t>
      </w:r>
      <w:r w:rsidR="00A34308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pour</w:t>
      </w:r>
      <w:r w:rsidR="00D348BA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ra</w:t>
      </w:r>
      <w:r w:rsidR="00A34308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diminuer le nombre de victimes de la prostitution </w:t>
      </w:r>
      <w:r w:rsidR="00A34308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de</w:t>
      </w:r>
      <w:r w:rsidR="00A34308" w:rsidRPr="00A34308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A34308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manière significative</w:t>
      </w:r>
      <w:r w:rsidR="00D348BA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.</w:t>
      </w:r>
      <w:r w:rsidR="00843AE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  <w:r w:rsidR="000C0CE3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Nous veillerons à ce que les mesures prévues dans cette stratégie soient effectives.</w:t>
      </w:r>
    </w:p>
    <w:p w14:paraId="2AF5A4B1" w14:textId="77777777" w:rsidR="00CB7B65" w:rsidRPr="00E17F74" w:rsidRDefault="00CB7B65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5B256ED0" w14:textId="0157CB1F" w:rsidR="00663634" w:rsidRPr="00E17F74" w:rsidRDefault="000C0CE3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Nous regrettons </w:t>
      </w:r>
      <w:r w:rsidR="00A8077F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l’absence de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moyen</w:t>
      </w:r>
      <w:r w:rsidR="0072747F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supplémentaire</w:t>
      </w:r>
      <w:r w:rsidR="0072747F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s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pour augmenter le nombre de Parcours de sortie de prostitution. L’allocation financière prévue pour les personnes qui en bénéficient n’est pas revalorisée et reste à 342€ par mois, </w:t>
      </w:r>
      <w:r w:rsidR="00A8077F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C</w:t>
      </w:r>
      <w:r w:rsidR="00CB7B65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’est indigne ! L’autorisation de séjour déjà précaire n’est pas améliorée</w:t>
      </w:r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, la mise en sécurité des femmes et des filles, notamment étrangères mais aussi des </w:t>
      </w:r>
      <w:proofErr w:type="spellStart"/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mineur·es</w:t>
      </w:r>
      <w:proofErr w:type="spellEnd"/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et jeunes </w:t>
      </w:r>
      <w:proofErr w:type="spellStart"/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majeur·es</w:t>
      </w:r>
      <w:proofErr w:type="spellEnd"/>
      <w:r w:rsidR="00BD4A74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 est insuffisante…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</w:t>
      </w:r>
    </w:p>
    <w:p w14:paraId="7445423C" w14:textId="77777777" w:rsidR="00BD4A74" w:rsidRPr="00E17F74" w:rsidRDefault="00BD4A74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5DC9B0A4" w14:textId="15F6AC2A" w:rsidR="00B11477" w:rsidRPr="00E17F74" w:rsidRDefault="00C71F8A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Lorsqu’elle a été adoptée, la loi de 2016 visait à un changement d’échelle significatif, à savoir permettre la diminution sensible d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u nombre de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personnes en </w:t>
      </w:r>
      <w:r w:rsidR="007B24F0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situation de 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prostitution</w:t>
      </w:r>
      <w:r w:rsidR="001649BA"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,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en leur proposant des alternatives crédibles. Et </w:t>
      </w:r>
      <w:r w:rsidR="00E333B0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lutter contre</w:t>
      </w:r>
      <w:r w:rsidRPr="00E17F7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les réseaux et les proxénètes en tarissant leur source de revenus qui ne provient que de ce que dépensent les clients prostitueurs. </w:t>
      </w:r>
      <w:r w:rsidR="005E6073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La volonté politique affichée dans cette stratégie devra se concrétiser </w:t>
      </w:r>
      <w:r w:rsidR="00FC7CA3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dans des résultats </w:t>
      </w:r>
      <w:r w:rsidR="001E533A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chiffrés</w:t>
      </w:r>
      <w:r w:rsidR="00F72A38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. Les marges de progr</w:t>
      </w:r>
      <w:r w:rsidR="001E533A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ès</w:t>
      </w:r>
      <w:r w:rsidR="00F72A38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 sont énormes. </w:t>
      </w:r>
    </w:p>
    <w:p w14:paraId="74ED7ED1" w14:textId="56270BEA" w:rsidR="002C60B8" w:rsidRPr="00E17F74" w:rsidRDefault="002C60B8" w:rsidP="00843AEA">
      <w:p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</w:p>
    <w:p w14:paraId="3300F0BE" w14:textId="42026550" w:rsidR="002C60B8" w:rsidRPr="00A96F04" w:rsidRDefault="002C60B8" w:rsidP="00843AEA">
      <w:pPr>
        <w:jc w:val="both"/>
        <w:rPr>
          <w:rFonts w:ascii="Gill Sans MT" w:eastAsia="Times New Roman" w:hAnsi="Gill Sans MT" w:cs="Calibri"/>
          <w:b/>
          <w:color w:val="212121"/>
          <w:sz w:val="22"/>
          <w:szCs w:val="22"/>
          <w:lang w:eastAsia="fr-FR"/>
        </w:rPr>
      </w:pPr>
      <w:r w:rsidRPr="00A96F04">
        <w:rPr>
          <w:rFonts w:ascii="Gill Sans MT" w:eastAsia="Times New Roman" w:hAnsi="Gill Sans MT" w:cs="Calibri"/>
          <w:b/>
          <w:color w:val="212121"/>
          <w:sz w:val="22"/>
          <w:szCs w:val="22"/>
          <w:lang w:eastAsia="fr-FR"/>
        </w:rPr>
        <w:t xml:space="preserve">Contacts presse : </w:t>
      </w:r>
    </w:p>
    <w:p w14:paraId="70F57DA2" w14:textId="1DA3BB8E" w:rsidR="002C60B8" w:rsidRPr="00A96F04" w:rsidRDefault="002C60B8" w:rsidP="00A96F04">
      <w:pPr>
        <w:pStyle w:val="Paragraphedeliste"/>
        <w:numPr>
          <w:ilvl w:val="0"/>
          <w:numId w:val="2"/>
        </w:numPr>
        <w:jc w:val="both"/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</w:pPr>
      <w:r w:rsidRPr="00A96F0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Amicale du Nid – Delphine JARRAUD, déléguée générale 06 07 15 55 65</w:t>
      </w:r>
    </w:p>
    <w:p w14:paraId="4915C0B8" w14:textId="0DA0317D" w:rsidR="00E17F74" w:rsidRPr="00E17F74" w:rsidRDefault="002C60B8" w:rsidP="00A96F04">
      <w:pPr>
        <w:pStyle w:val="Textebrut"/>
        <w:numPr>
          <w:ilvl w:val="0"/>
          <w:numId w:val="2"/>
        </w:numPr>
        <w:rPr>
          <w:rFonts w:ascii="Gill Sans MT" w:hAnsi="Gill Sans MT"/>
          <w:szCs w:val="22"/>
        </w:rPr>
      </w:pPr>
      <w:r w:rsidRPr="00E17F74">
        <w:rPr>
          <w:rFonts w:ascii="Gill Sans MT" w:eastAsia="Times New Roman" w:hAnsi="Gill Sans MT" w:cs="Calibri"/>
          <w:color w:val="212121"/>
          <w:szCs w:val="22"/>
          <w:lang w:eastAsia="fr-FR"/>
        </w:rPr>
        <w:t xml:space="preserve">CAP </w:t>
      </w:r>
      <w:r w:rsidR="00A96F04" w:rsidRPr="00E17F74">
        <w:rPr>
          <w:rFonts w:ascii="Gill Sans MT" w:eastAsia="Times New Roman" w:hAnsi="Gill Sans MT" w:cs="Calibri"/>
          <w:color w:val="212121"/>
          <w:szCs w:val="22"/>
          <w:lang w:eastAsia="fr-FR"/>
        </w:rPr>
        <w:t>International</w:t>
      </w:r>
      <w:r w:rsidRPr="00E17F74">
        <w:rPr>
          <w:rFonts w:ascii="Gill Sans MT" w:eastAsia="Times New Roman" w:hAnsi="Gill Sans MT" w:cs="Calibri"/>
          <w:color w:val="212121"/>
          <w:szCs w:val="22"/>
          <w:lang w:eastAsia="fr-FR"/>
        </w:rPr>
        <w:t xml:space="preserve"> – </w:t>
      </w:r>
      <w:r w:rsidR="00E17F74" w:rsidRPr="00E17F74">
        <w:rPr>
          <w:rFonts w:ascii="Gill Sans MT" w:hAnsi="Gill Sans MT"/>
          <w:szCs w:val="22"/>
        </w:rPr>
        <w:t xml:space="preserve">Jonathan MACHLER, </w:t>
      </w:r>
      <w:r w:rsidR="00A96F04">
        <w:rPr>
          <w:rFonts w:ascii="Gill Sans MT" w:hAnsi="Gill Sans MT"/>
          <w:szCs w:val="22"/>
        </w:rPr>
        <w:t>directeur</w:t>
      </w:r>
      <w:r w:rsidR="00E17F74" w:rsidRPr="00E17F74">
        <w:rPr>
          <w:rFonts w:ascii="Gill Sans MT" w:hAnsi="Gill Sans MT"/>
          <w:szCs w:val="22"/>
        </w:rPr>
        <w:t xml:space="preserve"> 06 51 26 77 71</w:t>
      </w:r>
    </w:p>
    <w:p w14:paraId="78097487" w14:textId="77AE59AA" w:rsidR="002C60B8" w:rsidRPr="00A96F04" w:rsidRDefault="002C60B8" w:rsidP="00A96F04">
      <w:pPr>
        <w:pStyle w:val="Paragraphedeliste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A96F0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Fondation Scelles – Frédéric BOISARD, chef de projet</w:t>
      </w:r>
      <w:r w:rsidRPr="00A96F04">
        <w:rPr>
          <w:rFonts w:ascii="Gill Sans MT" w:hAnsi="Gill Sans MT"/>
          <w:sz w:val="22"/>
          <w:szCs w:val="22"/>
        </w:rPr>
        <w:t xml:space="preserve"> 06</w:t>
      </w:r>
      <w:r w:rsidR="00F15B1D">
        <w:rPr>
          <w:rFonts w:ascii="Gill Sans MT" w:hAnsi="Gill Sans MT"/>
          <w:sz w:val="22"/>
          <w:szCs w:val="22"/>
        </w:rPr>
        <w:t xml:space="preserve"> </w:t>
      </w:r>
      <w:r w:rsidRPr="00A96F04">
        <w:rPr>
          <w:rFonts w:ascii="Gill Sans MT" w:hAnsi="Gill Sans MT"/>
          <w:sz w:val="22"/>
          <w:szCs w:val="22"/>
        </w:rPr>
        <w:t>84</w:t>
      </w:r>
      <w:r w:rsidR="00F15B1D">
        <w:rPr>
          <w:rFonts w:ascii="Gill Sans MT" w:hAnsi="Gill Sans MT"/>
          <w:sz w:val="22"/>
          <w:szCs w:val="22"/>
        </w:rPr>
        <w:t xml:space="preserve"> </w:t>
      </w:r>
      <w:r w:rsidRPr="00A96F04">
        <w:rPr>
          <w:rFonts w:ascii="Gill Sans MT" w:hAnsi="Gill Sans MT"/>
          <w:sz w:val="22"/>
          <w:szCs w:val="22"/>
        </w:rPr>
        <w:t>20</w:t>
      </w:r>
      <w:r w:rsidR="00F15B1D">
        <w:rPr>
          <w:rFonts w:ascii="Gill Sans MT" w:hAnsi="Gill Sans MT"/>
          <w:sz w:val="22"/>
          <w:szCs w:val="22"/>
        </w:rPr>
        <w:t xml:space="preserve"> </w:t>
      </w:r>
      <w:r w:rsidRPr="00A96F04">
        <w:rPr>
          <w:rFonts w:ascii="Gill Sans MT" w:hAnsi="Gill Sans MT"/>
          <w:sz w:val="22"/>
          <w:szCs w:val="22"/>
        </w:rPr>
        <w:t>05</w:t>
      </w:r>
      <w:r w:rsidR="00F15B1D">
        <w:rPr>
          <w:rFonts w:ascii="Gill Sans MT" w:hAnsi="Gill Sans MT"/>
          <w:sz w:val="22"/>
          <w:szCs w:val="22"/>
        </w:rPr>
        <w:t xml:space="preserve"> </w:t>
      </w:r>
      <w:r w:rsidRPr="00A96F04">
        <w:rPr>
          <w:rFonts w:ascii="Gill Sans MT" w:hAnsi="Gill Sans MT"/>
          <w:sz w:val="22"/>
          <w:szCs w:val="22"/>
        </w:rPr>
        <w:t xml:space="preserve">37 </w:t>
      </w:r>
    </w:p>
    <w:p w14:paraId="2FCD1E4B" w14:textId="23939903" w:rsidR="002C60B8" w:rsidRDefault="002C60B8" w:rsidP="00A96F04">
      <w:pPr>
        <w:pStyle w:val="Paragraphedeliste"/>
        <w:numPr>
          <w:ilvl w:val="0"/>
          <w:numId w:val="2"/>
        </w:numPr>
        <w:rPr>
          <w:rFonts w:ascii="Gill Sans MT" w:eastAsia="Times New Roman" w:hAnsi="Gill Sans MT"/>
          <w:sz w:val="22"/>
          <w:szCs w:val="22"/>
        </w:rPr>
      </w:pPr>
      <w:r w:rsidRPr="00A96F04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Mouvement du Nid – Stéphanie CARADEC, directrice </w:t>
      </w:r>
      <w:r w:rsidRPr="00A96F04">
        <w:rPr>
          <w:rFonts w:ascii="Gill Sans MT" w:eastAsia="Times New Roman" w:hAnsi="Gill Sans MT"/>
          <w:sz w:val="22"/>
          <w:szCs w:val="22"/>
        </w:rPr>
        <w:t>06 70 15 21 34</w:t>
      </w:r>
    </w:p>
    <w:p w14:paraId="0A3A596E" w14:textId="16D0C82B" w:rsidR="009A2F72" w:rsidRPr="00A96F04" w:rsidRDefault="0073307B" w:rsidP="00A96F04">
      <w:pPr>
        <w:pStyle w:val="Paragraphedeliste"/>
        <w:numPr>
          <w:ilvl w:val="0"/>
          <w:numId w:val="2"/>
        </w:numPr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 xml:space="preserve">FNCIDFF – Auriane Dupuy, chargée de plaidoyer </w:t>
      </w:r>
      <w:r w:rsidR="00012389" w:rsidRPr="00012389">
        <w:rPr>
          <w:rFonts w:ascii="Gill Sans MT" w:eastAsia="Times New Roman" w:hAnsi="Gill Sans MT" w:cs="Calibri"/>
          <w:color w:val="212121"/>
          <w:sz w:val="22"/>
          <w:szCs w:val="22"/>
          <w:lang w:eastAsia="fr-FR"/>
        </w:rPr>
        <w:t>07 86 68 23 73</w:t>
      </w:r>
    </w:p>
    <w:sectPr w:rsidR="009A2F72" w:rsidRPr="00A96F04" w:rsidSect="00970C6C">
      <w:pgSz w:w="11906" w:h="16838"/>
      <w:pgMar w:top="370" w:right="720" w:bottom="45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62EA" w14:textId="77777777" w:rsidR="00970C6C" w:rsidRDefault="00970C6C" w:rsidP="00C5366E">
      <w:r>
        <w:separator/>
      </w:r>
    </w:p>
  </w:endnote>
  <w:endnote w:type="continuationSeparator" w:id="0">
    <w:p w14:paraId="1E2C7D61" w14:textId="77777777" w:rsidR="00970C6C" w:rsidRDefault="00970C6C" w:rsidP="00C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19D3" w14:textId="77777777" w:rsidR="00970C6C" w:rsidRDefault="00970C6C" w:rsidP="00C5366E">
      <w:r>
        <w:separator/>
      </w:r>
    </w:p>
  </w:footnote>
  <w:footnote w:type="continuationSeparator" w:id="0">
    <w:p w14:paraId="218189FE" w14:textId="77777777" w:rsidR="00970C6C" w:rsidRDefault="00970C6C" w:rsidP="00C5366E">
      <w:r>
        <w:continuationSeparator/>
      </w:r>
    </w:p>
  </w:footnote>
  <w:footnote w:id="1">
    <w:p w14:paraId="6EA46DB2" w14:textId="5E7BA538" w:rsidR="00C5366E" w:rsidRPr="00C5366E" w:rsidRDefault="00C5366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5366E">
        <w:rPr>
          <w:lang w:val="en-US"/>
        </w:rPr>
        <w:t xml:space="preserve"> Rapport FACT-S, 2021, </w:t>
      </w:r>
      <w:hyperlink r:id="rId1" w:anchor="rapport-2021" w:history="1">
        <w:r w:rsidRPr="00DB7B63">
          <w:rPr>
            <w:rStyle w:val="Lienhypertexte"/>
            <w:lang w:val="en-US"/>
          </w:rPr>
          <w:t>https://www.fact-s.fr/#rapport-2021</w:t>
        </w:r>
      </w:hyperlink>
      <w:r>
        <w:rPr>
          <w:lang w:val="en-US"/>
        </w:rPr>
        <w:t xml:space="preserve"> </w:t>
      </w:r>
    </w:p>
  </w:footnote>
  <w:footnote w:id="2">
    <w:p w14:paraId="57E44DEE" w14:textId="01054D76" w:rsidR="0042117B" w:rsidRDefault="0042117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D5B53">
        <w:t xml:space="preserve">Podcast La Vie en Rouge, </w:t>
      </w:r>
      <w:hyperlink r:id="rId2" w:history="1">
        <w:r w:rsidR="003D5B53" w:rsidRPr="00DB7B63">
          <w:rPr>
            <w:rStyle w:val="Lienhypertexte"/>
          </w:rPr>
          <w:t>https://smartlink.ausha.co/la-vie-en-rouge</w:t>
        </w:r>
      </w:hyperlink>
      <w:r w:rsidR="003D5B53">
        <w:t xml:space="preserve"> </w:t>
      </w:r>
    </w:p>
  </w:footnote>
  <w:footnote w:id="3">
    <w:p w14:paraId="7B4ABFA5" w14:textId="3495B8AD" w:rsidR="00C5366E" w:rsidRDefault="00C5366E">
      <w:pPr>
        <w:pStyle w:val="Notedebasdepage"/>
      </w:pPr>
      <w:r>
        <w:rPr>
          <w:rStyle w:val="Appelnotedebasdep"/>
        </w:rPr>
        <w:footnoteRef/>
      </w:r>
      <w:r>
        <w:t xml:space="preserve"> Office centrale de répression de la traite des êtres humains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0DBE"/>
    <w:multiLevelType w:val="hybridMultilevel"/>
    <w:tmpl w:val="61B4B55A"/>
    <w:lvl w:ilvl="0" w:tplc="AC1C2608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2734"/>
    <w:multiLevelType w:val="hybridMultilevel"/>
    <w:tmpl w:val="45345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2708">
    <w:abstractNumId w:val="0"/>
  </w:num>
  <w:num w:numId="2" w16cid:durableId="104031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77"/>
    <w:rsid w:val="00012389"/>
    <w:rsid w:val="000227FF"/>
    <w:rsid w:val="00085ACD"/>
    <w:rsid w:val="000C0CE3"/>
    <w:rsid w:val="00126EF8"/>
    <w:rsid w:val="001649BA"/>
    <w:rsid w:val="00187958"/>
    <w:rsid w:val="001A30E3"/>
    <w:rsid w:val="001B0A17"/>
    <w:rsid w:val="001E533A"/>
    <w:rsid w:val="001F02F8"/>
    <w:rsid w:val="00212925"/>
    <w:rsid w:val="0023248A"/>
    <w:rsid w:val="002B66E5"/>
    <w:rsid w:val="002C60B8"/>
    <w:rsid w:val="002D13C3"/>
    <w:rsid w:val="00372535"/>
    <w:rsid w:val="003B1043"/>
    <w:rsid w:val="003D5B53"/>
    <w:rsid w:val="003E196E"/>
    <w:rsid w:val="0042117B"/>
    <w:rsid w:val="004722D7"/>
    <w:rsid w:val="00473A63"/>
    <w:rsid w:val="00484332"/>
    <w:rsid w:val="00496813"/>
    <w:rsid w:val="004C0F34"/>
    <w:rsid w:val="004F7203"/>
    <w:rsid w:val="00501EF2"/>
    <w:rsid w:val="005E6073"/>
    <w:rsid w:val="00663634"/>
    <w:rsid w:val="006846DE"/>
    <w:rsid w:val="006A0090"/>
    <w:rsid w:val="00702400"/>
    <w:rsid w:val="0072747F"/>
    <w:rsid w:val="0073307B"/>
    <w:rsid w:val="00774F3E"/>
    <w:rsid w:val="007A065C"/>
    <w:rsid w:val="007B24F0"/>
    <w:rsid w:val="008100C6"/>
    <w:rsid w:val="00843AEA"/>
    <w:rsid w:val="0089010F"/>
    <w:rsid w:val="008A02F7"/>
    <w:rsid w:val="00970C6C"/>
    <w:rsid w:val="00982D4D"/>
    <w:rsid w:val="009A2F72"/>
    <w:rsid w:val="00A34308"/>
    <w:rsid w:val="00A8077F"/>
    <w:rsid w:val="00A92EA9"/>
    <w:rsid w:val="00A96F04"/>
    <w:rsid w:val="00AC726B"/>
    <w:rsid w:val="00B11477"/>
    <w:rsid w:val="00B75D0E"/>
    <w:rsid w:val="00BD4A74"/>
    <w:rsid w:val="00C22F9F"/>
    <w:rsid w:val="00C5366E"/>
    <w:rsid w:val="00C71F8A"/>
    <w:rsid w:val="00C7535C"/>
    <w:rsid w:val="00C90C53"/>
    <w:rsid w:val="00CB7B65"/>
    <w:rsid w:val="00CD6F28"/>
    <w:rsid w:val="00D07F3C"/>
    <w:rsid w:val="00D348BA"/>
    <w:rsid w:val="00DE5F40"/>
    <w:rsid w:val="00E02AB7"/>
    <w:rsid w:val="00E17F74"/>
    <w:rsid w:val="00E21644"/>
    <w:rsid w:val="00E333B0"/>
    <w:rsid w:val="00E85780"/>
    <w:rsid w:val="00EF4B7C"/>
    <w:rsid w:val="00F15B1D"/>
    <w:rsid w:val="00F46701"/>
    <w:rsid w:val="00F72A38"/>
    <w:rsid w:val="00FC7CA3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D997"/>
  <w15:chartTrackingRefBased/>
  <w15:docId w15:val="{51ACC0B3-F50B-394B-91BB-7456AEB9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11477"/>
  </w:style>
  <w:style w:type="paragraph" w:styleId="Paragraphedeliste">
    <w:name w:val="List Paragraph"/>
    <w:basedOn w:val="Normal"/>
    <w:uiPriority w:val="34"/>
    <w:qFormat/>
    <w:rsid w:val="0066363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36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36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366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36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366E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17F74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17F74"/>
    <w:rPr>
      <w:rFonts w:ascii="Calibri" w:hAnsi="Calibri"/>
      <w:sz w:val="22"/>
      <w:szCs w:val="21"/>
    </w:rPr>
  </w:style>
  <w:style w:type="table" w:styleId="Grilledutableau">
    <w:name w:val="Table Grid"/>
    <w:basedOn w:val="TableauNormal"/>
    <w:uiPriority w:val="39"/>
    <w:rsid w:val="00E1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martlink.ausha.co/la-vie-en-rouge" TargetMode="External"/><Relationship Id="rId1" Type="http://schemas.openxmlformats.org/officeDocument/2006/relationships/hyperlink" Target="https://www.fact-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Caradec</dc:creator>
  <cp:keywords/>
  <dc:description/>
  <cp:lastModifiedBy>claire desaint</cp:lastModifiedBy>
  <cp:revision>2</cp:revision>
  <cp:lastPrinted>2024-05-02T09:43:00Z</cp:lastPrinted>
  <dcterms:created xsi:type="dcterms:W3CDTF">2024-05-03T10:27:00Z</dcterms:created>
  <dcterms:modified xsi:type="dcterms:W3CDTF">2024-05-03T10:27:00Z</dcterms:modified>
</cp:coreProperties>
</file>